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del Lago di </w:t>
      </w:r>
      <w:proofErr w:type="spellStart"/>
      <w:r w:rsidRPr="004206CC">
        <w:rPr>
          <w:b/>
          <w:bCs/>
          <w:sz w:val="22"/>
          <w:szCs w:val="22"/>
        </w:rPr>
        <w:t>Occhito</w:t>
      </w:r>
      <w:proofErr w:type="spellEnd"/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7F78BF9C" w:rsidR="00F367EB" w:rsidRPr="000D4B65" w:rsidRDefault="000D4B65" w:rsidP="0049057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Avviso Pubblico per la manifestazione di interesse finalizzata all’acquisizione </w:t>
      </w:r>
      <w:r w:rsidR="00F91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di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candidatur</w:t>
      </w:r>
      <w:r w:rsidR="00900DAF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l’individuazione </w:t>
      </w:r>
      <w:r w:rsidR="00F91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di </w:t>
      </w:r>
      <w:r w:rsidR="009648E3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component</w:t>
      </w:r>
      <w:r w:rsidR="009648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della Commissione giudicatrice per l’appalto de “</w:t>
      </w:r>
      <w:r w:rsidR="009648E3" w:rsidRPr="009648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PROCEDURA APERTA PER L’AFFIDAMENTO DEL SERVIZIO DI GESTIONE INTEGRATA DEI RIFIUTI SOLIDI URBANI E DI IGIENE URBANA DEL COMUNE DI LAVIANO (SA)</w:t>
      </w:r>
      <w:r w:rsidR="009648E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 </w:t>
      </w:r>
      <w:r w:rsidR="009648E3" w:rsidRPr="009648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CUP H69I24000830004 - CIG: B5BF1A2022</w:t>
      </w:r>
      <w:r w:rsid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CUC del Lago di </w:t>
      </w:r>
      <w:proofErr w:type="spellStart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Occhito</w:t>
      </w:r>
      <w:proofErr w:type="spellEnd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conto del comune di </w:t>
      </w:r>
      <w:r w:rsidR="009648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Laviano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(SA)</w:t>
      </w:r>
      <w:r w:rsidR="00900DAF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 xml:space="preserve">Lago di </w:t>
      </w:r>
      <w:proofErr w:type="spellStart"/>
      <w:r w:rsidR="008D56DD">
        <w:rPr>
          <w:sz w:val="22"/>
          <w:szCs w:val="22"/>
        </w:rPr>
        <w:t>Occhito</w:t>
      </w:r>
      <w:proofErr w:type="spellEnd"/>
      <w:r w:rsidR="008D56DD">
        <w:rPr>
          <w:sz w:val="22"/>
          <w:szCs w:val="22"/>
        </w:rPr>
        <w:t>;</w:t>
      </w:r>
    </w:p>
    <w:p w14:paraId="09F682ED" w14:textId="77777777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000000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7CA1C976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65BAB198" w14:textId="027E1D25" w:rsidR="0049057C" w:rsidRDefault="0049057C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proofErr w:type="spellStart"/>
      <w:r>
        <w:rPr>
          <w:sz w:val="22"/>
          <w:szCs w:val="22"/>
        </w:rPr>
        <w:t>Dich</w:t>
      </w:r>
      <w:proofErr w:type="spellEnd"/>
      <w:r>
        <w:rPr>
          <w:sz w:val="22"/>
          <w:szCs w:val="22"/>
        </w:rPr>
        <w:t>. Assenza conflitto d’interessi e/o incompatibilità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6004627">
    <w:abstractNumId w:val="0"/>
  </w:num>
  <w:num w:numId="2" w16cid:durableId="125455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332C3E"/>
    <w:rsid w:val="004206CC"/>
    <w:rsid w:val="0049057C"/>
    <w:rsid w:val="004E5FD6"/>
    <w:rsid w:val="0051584A"/>
    <w:rsid w:val="00530821"/>
    <w:rsid w:val="0056728F"/>
    <w:rsid w:val="00583032"/>
    <w:rsid w:val="00623613"/>
    <w:rsid w:val="006236B9"/>
    <w:rsid w:val="006278EC"/>
    <w:rsid w:val="00666475"/>
    <w:rsid w:val="006A0493"/>
    <w:rsid w:val="008D56DD"/>
    <w:rsid w:val="00900DAF"/>
    <w:rsid w:val="00934885"/>
    <w:rsid w:val="009648E3"/>
    <w:rsid w:val="00A00354"/>
    <w:rsid w:val="00AD77DD"/>
    <w:rsid w:val="00B83542"/>
    <w:rsid w:val="00B94867"/>
    <w:rsid w:val="00C573BF"/>
    <w:rsid w:val="00C847EE"/>
    <w:rsid w:val="00C94DCA"/>
    <w:rsid w:val="00D57084"/>
    <w:rsid w:val="00DD1C65"/>
    <w:rsid w:val="00E42EE0"/>
    <w:rsid w:val="00E43C1C"/>
    <w:rsid w:val="00E76225"/>
    <w:rsid w:val="00EE0A98"/>
    <w:rsid w:val="00F367EB"/>
    <w:rsid w:val="00F72E3E"/>
    <w:rsid w:val="00F91168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Angelo Capozio</cp:lastModifiedBy>
  <cp:revision>21</cp:revision>
  <dcterms:created xsi:type="dcterms:W3CDTF">2024-07-31T04:12:00Z</dcterms:created>
  <dcterms:modified xsi:type="dcterms:W3CDTF">2025-04-02T14:30:00Z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