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973C7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BC05BD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06E1660F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500B42" w:rsidRPr="00442791">
        <w:t xml:space="preserve">PROCEDURA APERTA PER L’AFFIDAMENTO </w:t>
      </w:r>
      <w:bookmarkStart w:id="0" w:name="_Hlk191048440"/>
      <w:r w:rsidR="00500B42" w:rsidRPr="00442791">
        <w:t>DEL SERVIZIO DI GESTIONE INTEGRATA DEI RIFIUTI SOLIDI URBANI E DI IGIENE URBANA DEL COMUNE DI LAVIANO (SA). CUP H69I24000830004</w:t>
      </w:r>
      <w:r w:rsidR="00500B42">
        <w:t xml:space="preserve"> </w:t>
      </w:r>
      <w:bookmarkEnd w:id="0"/>
      <w:r w:rsidR="00500B42" w:rsidRPr="001E1639">
        <w:t xml:space="preserve">- CIG: </w:t>
      </w:r>
      <w:r w:rsidR="00500B42" w:rsidRPr="00442791">
        <w:t>B5BF1A2022</w:t>
      </w:r>
      <w:r w:rsidR="004973C7" w:rsidRPr="00936884">
        <w:rPr>
          <w:rFonts w:cstheme="minorHAnsi"/>
          <w:color w:val="000000"/>
        </w:rPr>
        <w:t>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001F93E9" w:rsidR="00D35CBE" w:rsidRPr="007D6063" w:rsidRDefault="00500B42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  <w:lang w:val="it-IT"/>
              </w:rPr>
            </w:pPr>
            <w:r w:rsidRPr="00500B42">
              <w:rPr>
                <w:rFonts w:asciiTheme="minorHAnsi" w:hAnsiTheme="minorHAnsi" w:cstheme="minorHAnsi"/>
                <w:b/>
                <w:bCs/>
                <w:color w:val="000000"/>
              </w:rPr>
              <w:t>PROCEDURA APERTA PER L’AFFIDAMENTO DEL SERVIZIO DI GESTIONE INTEGRATA DEI RIFIUTI SOLIDI URBANI E DI IGIENE URBANA DEL COMUNE DI LAVIANO (SA). CUP H69I24000830004 - CIG: B5BF1A2022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46D93113" w:rsidR="00D35CBE" w:rsidRPr="00D35CBE" w:rsidRDefault="00500B42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500B42">
              <w:rPr>
                <w:rFonts w:asciiTheme="minorHAnsi" w:hAnsiTheme="minorHAnsi" w:cstheme="minorHAnsi"/>
                <w:b/>
                <w:bCs/>
                <w:color w:val="000000"/>
              </w:rPr>
              <w:t>B5BF1A2022</w:t>
            </w:r>
            <w:r w:rsidR="004973C7" w:rsidRPr="00936884">
              <w:rPr>
                <w:rFonts w:cstheme="minorHAnsi"/>
                <w:color w:val="000000"/>
              </w:rPr>
              <w:t>.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3E3B7271" w:rsidR="00D35CBE" w:rsidRPr="00D35CBE" w:rsidRDefault="00500B42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500B42">
              <w:rPr>
                <w:rFonts w:asciiTheme="minorHAnsi" w:hAnsiTheme="minorHAnsi" w:cstheme="minorHAnsi"/>
                <w:b/>
                <w:bCs/>
                <w:color w:val="000000"/>
              </w:rPr>
              <w:t>H69I24000830004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  <w:bookmarkStart w:id="1" w:name="_GoBack"/>
      <w:bookmarkEnd w:id="1"/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lastRenderedPageBreak/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lastRenderedPageBreak/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D35CBE">
        <w:rPr>
          <w:rFonts w:cstheme="minorHAnsi"/>
          <w:i/>
          <w:sz w:val="22"/>
          <w:szCs w:val="22"/>
        </w:rPr>
        <w:t>per</w:t>
      </w:r>
      <w:proofErr w:type="gramEnd"/>
      <w:r w:rsidR="00D35CBE" w:rsidRPr="00D35CBE">
        <w:rPr>
          <w:rFonts w:cstheme="minorHAnsi"/>
          <w:i/>
          <w:sz w:val="22"/>
          <w:szCs w:val="22"/>
        </w:rPr>
        <w:t xml:space="preserve">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lastRenderedPageBreak/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645A" w14:textId="77777777" w:rsidR="00BC05BD" w:rsidRDefault="00BC05BD" w:rsidP="00D91E55">
      <w:pPr>
        <w:spacing w:before="0" w:after="0" w:line="240" w:lineRule="auto"/>
      </w:pPr>
      <w:r>
        <w:separator/>
      </w:r>
    </w:p>
  </w:endnote>
  <w:endnote w:type="continuationSeparator" w:id="0">
    <w:p w14:paraId="1B05FC4B" w14:textId="77777777" w:rsidR="00BC05BD" w:rsidRDefault="00BC05B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0985" w14:textId="77777777" w:rsidR="00BC05BD" w:rsidRDefault="00BC05B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2D89BF1" w14:textId="77777777" w:rsidR="00BC05BD" w:rsidRDefault="00BC05BD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1A7"/>
    <w:rsid w:val="000A47BF"/>
    <w:rsid w:val="000E4E06"/>
    <w:rsid w:val="000F610A"/>
    <w:rsid w:val="000F657C"/>
    <w:rsid w:val="0011371A"/>
    <w:rsid w:val="001510F8"/>
    <w:rsid w:val="0017163A"/>
    <w:rsid w:val="001901E6"/>
    <w:rsid w:val="001E0729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3D80"/>
    <w:rsid w:val="00375729"/>
    <w:rsid w:val="003807E8"/>
    <w:rsid w:val="00380F8E"/>
    <w:rsid w:val="003830A0"/>
    <w:rsid w:val="003E1286"/>
    <w:rsid w:val="004816A9"/>
    <w:rsid w:val="004973C7"/>
    <w:rsid w:val="004C450A"/>
    <w:rsid w:val="004E6E84"/>
    <w:rsid w:val="00500B42"/>
    <w:rsid w:val="005125C3"/>
    <w:rsid w:val="00515154"/>
    <w:rsid w:val="00531AE4"/>
    <w:rsid w:val="005332AF"/>
    <w:rsid w:val="00591D04"/>
    <w:rsid w:val="00593EF7"/>
    <w:rsid w:val="005A2A32"/>
    <w:rsid w:val="005D03C4"/>
    <w:rsid w:val="005E1788"/>
    <w:rsid w:val="00611550"/>
    <w:rsid w:val="00612638"/>
    <w:rsid w:val="00620175"/>
    <w:rsid w:val="00623613"/>
    <w:rsid w:val="00624DB9"/>
    <w:rsid w:val="006416AB"/>
    <w:rsid w:val="006A7006"/>
    <w:rsid w:val="006B4C53"/>
    <w:rsid w:val="00707327"/>
    <w:rsid w:val="007073EE"/>
    <w:rsid w:val="00714D7D"/>
    <w:rsid w:val="007234AC"/>
    <w:rsid w:val="00756B4A"/>
    <w:rsid w:val="00776C71"/>
    <w:rsid w:val="0077740F"/>
    <w:rsid w:val="00777A05"/>
    <w:rsid w:val="007845A2"/>
    <w:rsid w:val="00795C12"/>
    <w:rsid w:val="007A462A"/>
    <w:rsid w:val="007C5EE7"/>
    <w:rsid w:val="007D6063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95F70"/>
    <w:rsid w:val="009E0134"/>
    <w:rsid w:val="009E2623"/>
    <w:rsid w:val="00A000F1"/>
    <w:rsid w:val="00A0045E"/>
    <w:rsid w:val="00A16C56"/>
    <w:rsid w:val="00A47735"/>
    <w:rsid w:val="00A72B26"/>
    <w:rsid w:val="00A75D45"/>
    <w:rsid w:val="00AC0E0B"/>
    <w:rsid w:val="00AC4D23"/>
    <w:rsid w:val="00AD0071"/>
    <w:rsid w:val="00AE4035"/>
    <w:rsid w:val="00B058B9"/>
    <w:rsid w:val="00B15D66"/>
    <w:rsid w:val="00B3091D"/>
    <w:rsid w:val="00B53FE0"/>
    <w:rsid w:val="00B54ECF"/>
    <w:rsid w:val="00B73F60"/>
    <w:rsid w:val="00B76CB2"/>
    <w:rsid w:val="00BC05BD"/>
    <w:rsid w:val="00BD0306"/>
    <w:rsid w:val="00BD2DAE"/>
    <w:rsid w:val="00BE0E81"/>
    <w:rsid w:val="00BF5220"/>
    <w:rsid w:val="00C35911"/>
    <w:rsid w:val="00C46AD2"/>
    <w:rsid w:val="00C76048"/>
    <w:rsid w:val="00CA1E3D"/>
    <w:rsid w:val="00CD2165"/>
    <w:rsid w:val="00D03A91"/>
    <w:rsid w:val="00D139BB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DF0CA2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6D10"/>
    <w:rsid w:val="00FB79D9"/>
    <w:rsid w:val="00FC217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F1651BB-BB85-4860-8EB6-539E712C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Antonio Grosso</cp:lastModifiedBy>
  <cp:revision>34</cp:revision>
  <cp:lastPrinted>2024-07-12T06:47:00Z</cp:lastPrinted>
  <dcterms:created xsi:type="dcterms:W3CDTF">2024-07-20T04:58:00Z</dcterms:created>
  <dcterms:modified xsi:type="dcterms:W3CDTF">2025-04-01T11:50:00Z</dcterms:modified>
</cp:coreProperties>
</file>