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973C7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13906EB0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8A1A26" w:rsidRPr="008A1A26">
        <w:t>PROCEDURA APERTA PER L’AFFIDAMENTO DEL SERVIZIO DI TRASPORTO SCOLASTICO IN FAVORE DEGLI ALUNNI DELLA SCUOLA DELL’INFANZIA, PRIMARIA E SECONDARIA DI 1° GRADO NEL COMUNE DI RAPOLLA PER GLI ANNI SCOLASTICI 2025/2026 – 2026/2027 – 2027/2028 - CUP G49I25000230004- CIG: B73811E6BF</w:t>
      </w:r>
      <w:r w:rsidR="004973C7" w:rsidRPr="00936884">
        <w:rPr>
          <w:rFonts w:cstheme="minorHAnsi"/>
          <w:color w:val="000000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56D960DE" w:rsidR="00D35CBE" w:rsidRPr="007D6063" w:rsidRDefault="008A1A26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832427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PROCEDURA APERTA PER L’AFFIDAMENTO DEL SERVIZIO DI TRASPORTO SCOLASTICO IN FAVORE DEGLI ALUNNI DELLA SCUOLA DELL’INFANZIA, PRIMARIA E SECONDARIA DI 1° GRADO NEL COMUNE DI RAPOLLA PER GLI ANNI SCOLASTICI 2025/2026 – 2026/2027 – 2027/2028 - CUP G49I25000230004- CIG: B73811E6BF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574603B1" w:rsidR="00D35CBE" w:rsidRPr="00D35CBE" w:rsidRDefault="008A1A26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8A1A26">
              <w:rPr>
                <w:rFonts w:ascii="Source Sans Pro" w:hAnsi="Source Sans Pro"/>
                <w:color w:val="212529"/>
                <w:shd w:val="clear" w:color="auto" w:fill="FFFFFF"/>
              </w:rPr>
              <w:t>B73811E6BF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28EE5E1F" w:rsidR="00D35CBE" w:rsidRPr="00D35CBE" w:rsidRDefault="008A1A26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8A1A26">
              <w:t>G49I25000230004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lastRenderedPageBreak/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DF4B" w14:textId="77777777" w:rsidR="00E056ED" w:rsidRDefault="00E056ED" w:rsidP="00D91E55">
      <w:pPr>
        <w:spacing w:before="0" w:after="0" w:line="240" w:lineRule="auto"/>
      </w:pPr>
      <w:r>
        <w:separator/>
      </w:r>
    </w:p>
  </w:endnote>
  <w:endnote w:type="continuationSeparator" w:id="0">
    <w:p w14:paraId="33216522" w14:textId="77777777" w:rsidR="00E056ED" w:rsidRDefault="00E056E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649C" w14:textId="77777777" w:rsidR="00E056ED" w:rsidRDefault="00E056E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A56847F" w14:textId="77777777" w:rsidR="00E056ED" w:rsidRDefault="00E056E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0438">
    <w:abstractNumId w:val="11"/>
  </w:num>
  <w:num w:numId="2" w16cid:durableId="686255322">
    <w:abstractNumId w:val="9"/>
  </w:num>
  <w:num w:numId="3" w16cid:durableId="1591967079">
    <w:abstractNumId w:val="5"/>
  </w:num>
  <w:num w:numId="4" w16cid:durableId="1329207569">
    <w:abstractNumId w:val="12"/>
  </w:num>
  <w:num w:numId="5" w16cid:durableId="809709009">
    <w:abstractNumId w:val="2"/>
  </w:num>
  <w:num w:numId="6" w16cid:durableId="1740126322">
    <w:abstractNumId w:val="15"/>
  </w:num>
  <w:num w:numId="7" w16cid:durableId="805581660">
    <w:abstractNumId w:val="4"/>
  </w:num>
  <w:num w:numId="8" w16cid:durableId="853685107">
    <w:abstractNumId w:val="13"/>
  </w:num>
  <w:num w:numId="9" w16cid:durableId="1638991085">
    <w:abstractNumId w:val="3"/>
  </w:num>
  <w:num w:numId="10" w16cid:durableId="492449096">
    <w:abstractNumId w:val="14"/>
  </w:num>
  <w:num w:numId="11" w16cid:durableId="1108769103">
    <w:abstractNumId w:val="7"/>
  </w:num>
  <w:num w:numId="12" w16cid:durableId="1028675858">
    <w:abstractNumId w:val="8"/>
  </w:num>
  <w:num w:numId="13" w16cid:durableId="995306796">
    <w:abstractNumId w:val="0"/>
  </w:num>
  <w:num w:numId="14" w16cid:durableId="1016614676">
    <w:abstractNumId w:val="1"/>
  </w:num>
  <w:num w:numId="15" w16cid:durableId="1336106549">
    <w:abstractNumId w:val="6"/>
  </w:num>
  <w:num w:numId="16" w16cid:durableId="993072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E1286"/>
    <w:rsid w:val="004816A9"/>
    <w:rsid w:val="004973C7"/>
    <w:rsid w:val="004C450A"/>
    <w:rsid w:val="004E6E84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655F7"/>
    <w:rsid w:val="008842D2"/>
    <w:rsid w:val="00887865"/>
    <w:rsid w:val="008979D0"/>
    <w:rsid w:val="008A1A26"/>
    <w:rsid w:val="008C3406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6C56"/>
    <w:rsid w:val="00A4773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DF0CA2"/>
    <w:rsid w:val="00E01559"/>
    <w:rsid w:val="00E056ED"/>
    <w:rsid w:val="00E54A2B"/>
    <w:rsid w:val="00E6258A"/>
    <w:rsid w:val="00EA4AE4"/>
    <w:rsid w:val="00EB5FC1"/>
    <w:rsid w:val="00ED2950"/>
    <w:rsid w:val="00F27D1C"/>
    <w:rsid w:val="00F331B8"/>
    <w:rsid w:val="00F5106D"/>
    <w:rsid w:val="00F6305F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2BB5683-3D8A-43BC-A812-C62BF3F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Angelo Capozio</cp:lastModifiedBy>
  <cp:revision>34</cp:revision>
  <cp:lastPrinted>2024-07-12T06:47:00Z</cp:lastPrinted>
  <dcterms:created xsi:type="dcterms:W3CDTF">2024-07-20T04:58:00Z</dcterms:created>
  <dcterms:modified xsi:type="dcterms:W3CDTF">2025-07-18T14:44:00Z</dcterms:modified>
</cp:coreProperties>
</file>