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4C0ADE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5E19AD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D35CBE">
              <w:rPr>
                <w:i/>
                <w:iCs/>
                <w:sz w:val="18"/>
                <w:szCs w:val="18"/>
                <w:lang w:val="en-US"/>
              </w:rPr>
              <w:t>tel</w:t>
            </w:r>
            <w:proofErr w:type="spellEnd"/>
            <w:r w:rsidRPr="00D35CBE">
              <w:rPr>
                <w:i/>
                <w:iCs/>
                <w:sz w:val="18"/>
                <w:szCs w:val="18"/>
                <w:lang w:val="en-US"/>
              </w:rPr>
              <w:t>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3F8C189E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8671C7" w:rsidRPr="008671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Recupero del Centro Storico di Sant'Agata de' Goti ed eliminazione dei pericoli incombenti per la pubblica incolumità dovuti a movimenti franosi in atto e dissesti idrogeologici Messa in sicurezza dei costoni tufacei che minacciano il centro storico - Codice </w:t>
      </w:r>
      <w:proofErr w:type="spellStart"/>
      <w:r w:rsidR="008671C7" w:rsidRPr="008671C7">
        <w:rPr>
          <w:rFonts w:asciiTheme="minorHAnsi" w:hAnsiTheme="minorHAnsi" w:cstheme="minorHAnsi"/>
          <w:bCs/>
          <w:color w:val="000000"/>
          <w:sz w:val="22"/>
          <w:szCs w:val="22"/>
        </w:rPr>
        <w:t>ReNDIS</w:t>
      </w:r>
      <w:proofErr w:type="spellEnd"/>
      <w:r w:rsidR="008671C7" w:rsidRPr="008671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15IR654/G1 CUP: H79D15000910001. CIG: B7B517A66F, indetta dalla CUC del Lago di </w:t>
      </w:r>
      <w:proofErr w:type="spellStart"/>
      <w:r w:rsidR="008671C7" w:rsidRPr="008671C7">
        <w:rPr>
          <w:rFonts w:asciiTheme="minorHAnsi" w:hAnsiTheme="minorHAnsi" w:cstheme="minorHAnsi"/>
          <w:bCs/>
          <w:color w:val="000000"/>
          <w:sz w:val="22"/>
          <w:szCs w:val="22"/>
        </w:rPr>
        <w:t>Occhito</w:t>
      </w:r>
      <w:proofErr w:type="spellEnd"/>
      <w:r w:rsidR="008671C7" w:rsidRPr="008671C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per conto del comune di Sant’Agata de’ Goti (BN).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23A628D" w14:textId="77777777" w:rsidR="00D35CBE" w:rsidRP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6DB8973C" w:rsidR="00D35CBE" w:rsidRPr="004C0ADE" w:rsidRDefault="008671C7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lang w:val="it-IT"/>
              </w:rPr>
            </w:pPr>
            <w:bookmarkStart w:id="0" w:name="_Hlk196370690"/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Recupero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del Centro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Storico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di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Sant'Agata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de'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Goti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ed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eliminazione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dei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pericoli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incombenti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per la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pubblica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incolumità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dovuti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a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movimenti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franosi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in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atto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e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dissesti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idrogeologici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Messa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in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sicurezza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dei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costoni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tufacei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che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minacciano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il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centro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storico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-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Codice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ReNDIS</w:t>
            </w:r>
            <w:proofErr w:type="spellEnd"/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15IR654/G1</w:t>
            </w:r>
            <w:bookmarkEnd w:id="0"/>
            <w:r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.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2486981B" w:rsidR="00D35CBE" w:rsidRPr="00D35CBE" w:rsidRDefault="008671C7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B7B517A66F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788" w:type="dxa"/>
            <w:vAlign w:val="center"/>
          </w:tcPr>
          <w:p w14:paraId="4C2DE930" w14:textId="10D93879" w:rsidR="00D35CBE" w:rsidRPr="00D35CBE" w:rsidRDefault="008671C7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513E8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H79D15000910001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DE053A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all’incarico,</w:t>
      </w:r>
      <w:r w:rsidRPr="00DE053A">
        <w:rPr>
          <w:rFonts w:cstheme="minorHAnsi"/>
          <w:spacing w:val="-8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svolto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4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qualità</w:t>
      </w:r>
      <w:r w:rsidRPr="00DE053A">
        <w:rPr>
          <w:rFonts w:cstheme="minorHAnsi"/>
          <w:spacing w:val="-5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di</w:t>
      </w:r>
      <w:r w:rsidRPr="00DE053A">
        <w:rPr>
          <w:rFonts w:cstheme="minorHAnsi"/>
          <w:spacing w:val="-1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 xml:space="preserve"> </w:t>
      </w:r>
      <w:r w:rsidRPr="00DE053A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DE053A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DE053A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 xml:space="preserve">Ai sensi dell’art. 47 del d.P.R. n. 445/2000 e </w:t>
      </w:r>
      <w:proofErr w:type="spellStart"/>
      <w:r w:rsidRPr="00D35CBE">
        <w:rPr>
          <w:rFonts w:cstheme="minorHAnsi"/>
          <w:sz w:val="22"/>
          <w:szCs w:val="22"/>
        </w:rPr>
        <w:t>s.m.i.</w:t>
      </w:r>
      <w:proofErr w:type="spellEnd"/>
      <w:r w:rsidRPr="00D35CBE">
        <w:rPr>
          <w:rFonts w:cstheme="minorHAnsi"/>
          <w:sz w:val="22"/>
          <w:szCs w:val="22"/>
        </w:rPr>
        <w:t xml:space="preserve">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</w:t>
      </w:r>
      <w:proofErr w:type="spellStart"/>
      <w:r w:rsidR="00F27D1C">
        <w:rPr>
          <w:rFonts w:cstheme="minorHAnsi"/>
          <w:b/>
          <w:sz w:val="22"/>
          <w:szCs w:val="22"/>
        </w:rPr>
        <w:t>D.Lgs.</w:t>
      </w:r>
      <w:proofErr w:type="spellEnd"/>
      <w:r w:rsidR="00F27D1C">
        <w:rPr>
          <w:rFonts w:cstheme="minorHAnsi"/>
          <w:b/>
          <w:sz w:val="22"/>
          <w:szCs w:val="22"/>
        </w:rPr>
        <w:t xml:space="preserve">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 xml:space="preserve">16 </w:t>
      </w:r>
      <w:proofErr w:type="spellStart"/>
      <w:r w:rsidRPr="00D35CBE">
        <w:rPr>
          <w:rFonts w:cstheme="minorHAnsi"/>
          <w:i/>
          <w:sz w:val="22"/>
          <w:szCs w:val="22"/>
        </w:rPr>
        <w:t>D.Lgs.</w:t>
      </w:r>
      <w:proofErr w:type="spellEnd"/>
      <w:r w:rsidRPr="00D35CBE">
        <w:rPr>
          <w:rFonts w:cstheme="minorHAnsi"/>
          <w:i/>
          <w:sz w:val="22"/>
          <w:szCs w:val="22"/>
        </w:rPr>
        <w:t xml:space="preserve">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lastRenderedPageBreak/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D35CBE">
        <w:rPr>
          <w:rFonts w:cstheme="minorHAnsi"/>
          <w:i/>
          <w:sz w:val="22"/>
          <w:szCs w:val="22"/>
        </w:rPr>
        <w:t>per</w:t>
      </w:r>
      <w:proofErr w:type="gramEnd"/>
      <w:r w:rsidR="00D35CBE" w:rsidRPr="00D35CBE">
        <w:rPr>
          <w:rFonts w:cstheme="minorHAnsi"/>
          <w:i/>
          <w:sz w:val="22"/>
          <w:szCs w:val="22"/>
        </w:rPr>
        <w:t xml:space="preserve">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proofErr w:type="spellStart"/>
      <w:r w:rsidRPr="00D35CBE">
        <w:rPr>
          <w:rFonts w:cstheme="minorHAnsi"/>
          <w:spacing w:val="-1"/>
          <w:sz w:val="22"/>
          <w:szCs w:val="22"/>
        </w:rPr>
        <w:t>endoprocedimentali</w:t>
      </w:r>
      <w:proofErr w:type="spellEnd"/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FF31" w14:textId="77777777" w:rsidR="005E19AD" w:rsidRDefault="005E19AD" w:rsidP="00D91E55">
      <w:pPr>
        <w:spacing w:before="0" w:after="0" w:line="240" w:lineRule="auto"/>
      </w:pPr>
      <w:r>
        <w:separator/>
      </w:r>
    </w:p>
  </w:endnote>
  <w:endnote w:type="continuationSeparator" w:id="0">
    <w:p w14:paraId="2AACF111" w14:textId="77777777" w:rsidR="005E19AD" w:rsidRDefault="005E19AD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EE39" w14:textId="77777777" w:rsidR="005E19AD" w:rsidRDefault="005E19AD" w:rsidP="00D91E55">
      <w:pPr>
        <w:spacing w:before="0" w:after="0" w:line="240" w:lineRule="auto"/>
      </w:pPr>
      <w:r>
        <w:separator/>
      </w:r>
    </w:p>
  </w:footnote>
  <w:footnote w:type="continuationSeparator" w:id="0">
    <w:p w14:paraId="738ABF4E" w14:textId="77777777" w:rsidR="005E19AD" w:rsidRDefault="005E19AD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E1286"/>
    <w:rsid w:val="004816A9"/>
    <w:rsid w:val="004C0ADE"/>
    <w:rsid w:val="004C450A"/>
    <w:rsid w:val="004E6E84"/>
    <w:rsid w:val="005125C3"/>
    <w:rsid w:val="00515154"/>
    <w:rsid w:val="00517CA0"/>
    <w:rsid w:val="00531AE4"/>
    <w:rsid w:val="00591D04"/>
    <w:rsid w:val="00593EF7"/>
    <w:rsid w:val="005D03C4"/>
    <w:rsid w:val="005E19AD"/>
    <w:rsid w:val="00611550"/>
    <w:rsid w:val="00612638"/>
    <w:rsid w:val="00620175"/>
    <w:rsid w:val="00624DB9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F61A7"/>
    <w:rsid w:val="00837A12"/>
    <w:rsid w:val="00843103"/>
    <w:rsid w:val="00843E71"/>
    <w:rsid w:val="008655F7"/>
    <w:rsid w:val="008671C7"/>
    <w:rsid w:val="008842D2"/>
    <w:rsid w:val="00887865"/>
    <w:rsid w:val="008979D0"/>
    <w:rsid w:val="008C3406"/>
    <w:rsid w:val="00941CDE"/>
    <w:rsid w:val="009430FD"/>
    <w:rsid w:val="009441FF"/>
    <w:rsid w:val="0096067D"/>
    <w:rsid w:val="0098202A"/>
    <w:rsid w:val="009E0134"/>
    <w:rsid w:val="009E2623"/>
    <w:rsid w:val="00A16C56"/>
    <w:rsid w:val="00A72B26"/>
    <w:rsid w:val="00A75D45"/>
    <w:rsid w:val="00AC0E0B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35911"/>
    <w:rsid w:val="00C46AD2"/>
    <w:rsid w:val="00C76048"/>
    <w:rsid w:val="00CA1E3D"/>
    <w:rsid w:val="00CC25F8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Pino D'Amelio</cp:lastModifiedBy>
  <cp:revision>22</cp:revision>
  <cp:lastPrinted>2024-07-12T06:47:00Z</cp:lastPrinted>
  <dcterms:created xsi:type="dcterms:W3CDTF">2024-07-20T04:58:00Z</dcterms:created>
  <dcterms:modified xsi:type="dcterms:W3CDTF">2025-09-12T04:45:00Z</dcterms:modified>
</cp:coreProperties>
</file>