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5A709A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526BBB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4AE26ED5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5A709A" w:rsidRPr="005A709A">
        <w:rPr>
          <w:rFonts w:asciiTheme="minorHAnsi" w:hAnsiTheme="minorHAnsi" w:cstheme="minorHAnsi"/>
          <w:bCs/>
          <w:color w:val="000000"/>
          <w:sz w:val="22"/>
          <w:szCs w:val="22"/>
        </w:rPr>
        <w:t>GARA EUROPEA A PROCEDURA TELEMATICA APERTA PER L’AFFIDAMENTO DEL SERVIZIO DI RACCOLTA, SPAZZAMENTO E TRASPORTO ANCHE VIA MARE DEI RIFIUTI SOLIDI URBANI E ASSIMILATI DEL COMUNE DI SANTA MARINA SALINA PER MESI DODICI</w:t>
      </w:r>
      <w:r w:rsidR="005A709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C0ADE" w:rsidRPr="004C0A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¬, indetta dalla CUC del Lago di Occhito per conto del comune di </w:t>
      </w:r>
      <w:r w:rsidR="005A709A">
        <w:rPr>
          <w:rFonts w:asciiTheme="minorHAnsi" w:hAnsiTheme="minorHAnsi" w:cstheme="minorHAnsi"/>
          <w:bCs/>
          <w:color w:val="000000"/>
          <w:sz w:val="22"/>
          <w:szCs w:val="22"/>
        </w:rPr>
        <w:t>Santa Maria Salina</w:t>
      </w:r>
      <w:r w:rsidR="004C0ADE" w:rsidRPr="004C0A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="005A709A">
        <w:rPr>
          <w:rFonts w:asciiTheme="minorHAnsi" w:hAnsiTheme="minorHAnsi" w:cstheme="minorHAnsi"/>
          <w:bCs/>
          <w:color w:val="000000"/>
          <w:sz w:val="22"/>
          <w:szCs w:val="22"/>
        </w:rPr>
        <w:t>ME</w:t>
      </w:r>
      <w:r w:rsidR="004C0ADE" w:rsidRPr="004C0ADE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59953108" w:rsidR="00D35CBE" w:rsidRPr="004C0ADE" w:rsidRDefault="005A709A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lang w:val="it-IT"/>
              </w:rPr>
            </w:pPr>
            <w:r w:rsidRPr="005A709A">
              <w:rPr>
                <w:rFonts w:asciiTheme="minorHAnsi" w:hAnsiTheme="minorHAnsi" w:cstheme="minorHAnsi"/>
                <w:b/>
                <w:bCs/>
                <w:i/>
                <w:color w:val="000000"/>
                <w:lang w:val="it-IT"/>
              </w:rPr>
              <w:t>GARA EUROPEA A PROCEDURA TELEMATICA APERTA PER L’AFFIDAMENTO DEL SERVIZIO DI RACCOLTA, SPAZZAMENTO E TRASPORTO ANCHE VIA MARE DEI RIFIUTI SOLIDI URBANI E ASSIMILATI DEL COMUNE DI SANTA MARINA SALINA PER MESI DODICI ¬, indetta dalla CUC del Lago di Occhito per conto del comune di Santa Maria Salina (ME)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004CA9C9" w:rsidR="00D35CBE" w:rsidRPr="00D35CBE" w:rsidRDefault="005A709A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5A709A">
              <w:rPr>
                <w:rFonts w:asciiTheme="minorHAnsi" w:hAnsiTheme="minorHAnsi" w:cstheme="minorHAnsi"/>
                <w:bCs/>
                <w:color w:val="000000"/>
              </w:rPr>
              <w:t>B37100DF7B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CUP</w:t>
            </w:r>
          </w:p>
        </w:tc>
        <w:tc>
          <w:tcPr>
            <w:tcW w:w="8788" w:type="dxa"/>
            <w:vAlign w:val="center"/>
          </w:tcPr>
          <w:p w14:paraId="4C2DE930" w14:textId="07B30A7A" w:rsidR="00D35CBE" w:rsidRPr="00D35CBE" w:rsidRDefault="005A709A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---------------------------------------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="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2FFE" w14:textId="77777777" w:rsidR="00526BBB" w:rsidRDefault="00526BBB" w:rsidP="00D91E55">
      <w:pPr>
        <w:spacing w:before="0" w:after="0" w:line="240" w:lineRule="auto"/>
      </w:pPr>
      <w:r>
        <w:separator/>
      </w:r>
    </w:p>
  </w:endnote>
  <w:endnote w:type="continuationSeparator" w:id="0">
    <w:p w14:paraId="7C5908BF" w14:textId="77777777" w:rsidR="00526BBB" w:rsidRDefault="00526BBB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C39E" w14:textId="77777777" w:rsidR="00526BBB" w:rsidRDefault="00526BBB" w:rsidP="00D91E55">
      <w:pPr>
        <w:spacing w:before="0" w:after="0" w:line="240" w:lineRule="auto"/>
      </w:pPr>
      <w:r>
        <w:separator/>
      </w:r>
    </w:p>
  </w:footnote>
  <w:footnote w:type="continuationSeparator" w:id="0">
    <w:p w14:paraId="453EA28F" w14:textId="77777777" w:rsidR="00526BBB" w:rsidRDefault="00526BBB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26BBB"/>
    <w:rsid w:val="00531AE4"/>
    <w:rsid w:val="00591D04"/>
    <w:rsid w:val="00593EF7"/>
    <w:rsid w:val="005A709A"/>
    <w:rsid w:val="005D03C4"/>
    <w:rsid w:val="00611550"/>
    <w:rsid w:val="00612638"/>
    <w:rsid w:val="00620175"/>
    <w:rsid w:val="00624DB9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F61A7"/>
    <w:rsid w:val="00837A12"/>
    <w:rsid w:val="00843103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1303</Words>
  <Characters>7810</Characters>
  <Application>Microsoft Office Word</Application>
  <DocSecurity>0</DocSecurity>
  <Lines>97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Pino D'Amelio</cp:lastModifiedBy>
  <cp:revision>21</cp:revision>
  <cp:lastPrinted>2024-07-12T06:47:00Z</cp:lastPrinted>
  <dcterms:created xsi:type="dcterms:W3CDTF">2024-07-20T04:58:00Z</dcterms:created>
  <dcterms:modified xsi:type="dcterms:W3CDTF">2024-11-20T12:31:00Z</dcterms:modified>
</cp:coreProperties>
</file>