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D601E9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</w:t>
            </w:r>
            <w:proofErr w:type="spellStart"/>
            <w:r w:rsidRPr="00D35CBE">
              <w:rPr>
                <w:sz w:val="18"/>
                <w:szCs w:val="18"/>
              </w:rPr>
              <w:t>FG</w:t>
            </w:r>
            <w:proofErr w:type="spellEnd"/>
            <w:r w:rsidRPr="00D35CBE">
              <w:rPr>
                <w:sz w:val="18"/>
                <w:szCs w:val="18"/>
              </w:rPr>
              <w:t>)</w:t>
            </w:r>
          </w:p>
          <w:p w14:paraId="7C1DC4CF" w14:textId="77777777" w:rsidR="00B53FE0" w:rsidRPr="00D35CBE" w:rsidRDefault="009E6DEA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D35CBE">
              <w:rPr>
                <w:i/>
                <w:iCs/>
                <w:sz w:val="18"/>
                <w:szCs w:val="18"/>
                <w:lang w:val="en-US"/>
              </w:rPr>
              <w:t>tel</w:t>
            </w:r>
            <w:proofErr w:type="spellEnd"/>
            <w:r w:rsidRPr="00D35CBE">
              <w:rPr>
                <w:i/>
                <w:iCs/>
                <w:sz w:val="18"/>
                <w:szCs w:val="18"/>
                <w:lang w:val="en-US"/>
              </w:rPr>
              <w:t>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7ECBA7D8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Avviso Pubblico per la manifestazione di interesse finalizzata all’acquisizione di candidature per l’individuazione dei componenti della Commissione giudicatrice per l’appalto de “Procedura Aperta, ai sensi dell’articolo 71 del </w:t>
      </w:r>
      <w:proofErr w:type="spellStart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>D.Lgs</w:t>
      </w:r>
      <w:proofErr w:type="spellEnd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36/2023, interamente telematica con aggiudicazione secondo il criterio dell’offerta economicamente più vantaggiosa sulla base del miglior rapporto qualità/prezzo ai sensi dell’art. 108, comma 2 del D. Lgs. 36/2023, per Affidamento dei servizi di ingegneria di “</w:t>
      </w:r>
      <w:proofErr w:type="gramStart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>Rafforzamento  mobilità</w:t>
      </w:r>
      <w:proofErr w:type="gramEnd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ciclistica  e  naturalistica  del territorio  e riqualificazione,  ammodernamento  tracciati  ciclo-pedonali  preesistenti  e recupero  storico,  naturalistico  dell'area  </w:t>
      </w:r>
      <w:proofErr w:type="spellStart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>Molpa</w:t>
      </w:r>
      <w:proofErr w:type="spellEnd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di  Palinuro  e Gole  del Mingardo - REDAZIONE DELLA PROGETTAZIONE DI FATTIBILITA' TECNICO-ECONOMICA (</w:t>
      </w:r>
      <w:proofErr w:type="spellStart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>PFTE</w:t>
      </w:r>
      <w:proofErr w:type="spellEnd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>), PROGETTAZIONE DI FATTIBILITA' TECNICO-ECONOMICA (</w:t>
      </w:r>
      <w:proofErr w:type="spellStart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>PFTE</w:t>
      </w:r>
      <w:proofErr w:type="spellEnd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 (Relazione geologica) E PROGETTAZIONE ESECUTIVA” - CUP B96C22000210007. CIG: B5353DFF90”, indetta dalla </w:t>
      </w:r>
      <w:proofErr w:type="spellStart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>CUC</w:t>
      </w:r>
      <w:proofErr w:type="spellEnd"/>
      <w:r w:rsidR="007964B0" w:rsidRPr="007964B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del Lago di Occhito per conto del comune di CENTOLA (SA)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AC68A80" w14:textId="77777777" w:rsidR="007D444B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p w14:paraId="523A628D" w14:textId="2DBC392D" w:rsid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p w14:paraId="28EA43BF" w14:textId="77777777" w:rsidR="007D444B" w:rsidRPr="00D35CBE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lastRenderedPageBreak/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157AE4D2" w:rsidR="00D35CBE" w:rsidRPr="003807E8" w:rsidRDefault="007964B0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Procedura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Aperta, ai sensi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dell’articolo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71 del </w:t>
            </w:r>
            <w:proofErr w:type="spellStart"/>
            <w:proofErr w:type="gram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D.Lgs</w:t>
            </w:r>
            <w:proofErr w:type="spellEnd"/>
            <w:proofErr w:type="gram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36/2023,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interamente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telematica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con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aggiudicazione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secondo il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criterio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dell’offerta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economicamente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più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vantaggiosa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sulla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base del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miglior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rapporto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qualità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>/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prezzo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ai sensi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dell’art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. 108, comma 2 del D.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Lgs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. 36/2023, per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Affidamento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dei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servizi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di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ingegneria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di “</w:t>
            </w:r>
            <w:proofErr w:type="spellStart"/>
            <w:proofErr w:type="gram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Rafforzamento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mobilità</w:t>
            </w:r>
            <w:proofErr w:type="spellEnd"/>
            <w:proofErr w:type="gram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ciclistica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e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naturalistica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del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territorio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e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riqualificazione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,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ammodernamento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tracciati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ciclo-pedonali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preesistenti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e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recupero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storico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,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naturalistico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dell'area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Molpa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di 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Palinuro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 e Gole  del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Mingardo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-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REDAZIONE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DELLA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PROGETTAZIONE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DI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FATTIBILITA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'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TECNICO-ECONOMICA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(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PFTE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),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PROGETTAZIONE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DI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FATTIBILITA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'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TECNICO-ECONOMICA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(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PFTE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>) (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Relazione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geologica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) E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PROGETTAZIONE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964B0">
              <w:rPr>
                <w:rFonts w:asciiTheme="minorHAnsi" w:hAnsiTheme="minorHAnsi" w:cstheme="minorHAnsi"/>
                <w:bCs/>
                <w:color w:val="000000"/>
              </w:rPr>
              <w:t>ESECUTIVA</w:t>
            </w:r>
            <w:proofErr w:type="spellEnd"/>
            <w:r w:rsidRPr="007964B0">
              <w:rPr>
                <w:rFonts w:asciiTheme="minorHAnsi" w:hAnsiTheme="minorHAnsi" w:cstheme="minorHAnsi"/>
                <w:bCs/>
                <w:color w:val="000000"/>
              </w:rPr>
              <w:t>” - CUP B96C22000210007. CIG: B5353DFF90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14:paraId="12BB2844" w14:textId="0E36DFE3" w:rsidR="00D35CBE" w:rsidRPr="00D35CBE" w:rsidRDefault="007964B0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7964B0">
              <w:rPr>
                <w:rFonts w:asciiTheme="minorHAnsi" w:hAnsiTheme="minorHAnsi" w:cstheme="minorHAnsi"/>
                <w:bCs/>
                <w:color w:val="000000"/>
              </w:rPr>
              <w:t>B5353DFF90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2BF7FF21" w:rsidR="00D35CBE" w:rsidRPr="00D35CBE" w:rsidRDefault="007964B0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7964B0">
              <w:rPr>
                <w:rFonts w:asciiTheme="minorHAnsi" w:hAnsiTheme="minorHAnsi" w:cstheme="minorHAnsi"/>
                <w:bCs/>
                <w:color w:val="000000"/>
              </w:rPr>
              <w:t>B96C22000210007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CD264B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trike/>
          <w:sz w:val="22"/>
          <w:szCs w:val="22"/>
        </w:rPr>
      </w:pPr>
      <w:r w:rsidRPr="00CD264B">
        <w:rPr>
          <w:rFonts w:cstheme="minorHAnsi"/>
          <w:strike/>
          <w:sz w:val="22"/>
          <w:szCs w:val="22"/>
        </w:rPr>
        <w:t>all’incarico,</w:t>
      </w:r>
      <w:r w:rsidRPr="00CD264B">
        <w:rPr>
          <w:rFonts w:cstheme="minorHAnsi"/>
          <w:strike/>
          <w:spacing w:val="-8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svolto</w:t>
      </w:r>
      <w:r w:rsidRPr="00CD264B">
        <w:rPr>
          <w:rFonts w:cstheme="minorHAnsi"/>
          <w:strike/>
          <w:spacing w:val="-3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in</w:t>
      </w:r>
      <w:r w:rsidRPr="00CD264B">
        <w:rPr>
          <w:rFonts w:cstheme="minorHAnsi"/>
          <w:strike/>
          <w:spacing w:val="-4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qualità</w:t>
      </w:r>
      <w:r w:rsidRPr="00CD264B">
        <w:rPr>
          <w:rFonts w:cstheme="minorHAnsi"/>
          <w:strike/>
          <w:spacing w:val="-5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di</w:t>
      </w:r>
      <w:r w:rsidRPr="00CD264B">
        <w:rPr>
          <w:rFonts w:cstheme="minorHAnsi"/>
          <w:strike/>
          <w:spacing w:val="-1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  <w:u w:val="single"/>
        </w:rPr>
        <w:t xml:space="preserve"> </w:t>
      </w:r>
      <w:r w:rsidRPr="00CD264B">
        <w:rPr>
          <w:rFonts w:cstheme="minorHAnsi"/>
          <w:strike/>
          <w:sz w:val="22"/>
          <w:szCs w:val="22"/>
          <w:u w:val="single"/>
        </w:rPr>
        <w:tab/>
      </w:r>
    </w:p>
    <w:p w14:paraId="79DD106C" w14:textId="77777777" w:rsidR="00D35CBE" w:rsidRPr="00CD264B" w:rsidRDefault="00D35CBE" w:rsidP="00D35CBE">
      <w:pPr>
        <w:spacing w:before="0" w:after="0"/>
        <w:ind w:left="112"/>
        <w:rPr>
          <w:rFonts w:cstheme="minorHAnsi"/>
          <w:i/>
          <w:strike/>
          <w:sz w:val="22"/>
          <w:szCs w:val="22"/>
        </w:rPr>
      </w:pPr>
      <w:r w:rsidRPr="00CD264B">
        <w:rPr>
          <w:rFonts w:cstheme="minorHAnsi"/>
          <w:i/>
          <w:strike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 xml:space="preserve">Ai sensi dell’art. 47 del d.P.R. n. 445/2000 e </w:t>
      </w:r>
      <w:proofErr w:type="spellStart"/>
      <w:r w:rsidRPr="00D35CBE">
        <w:rPr>
          <w:rFonts w:cstheme="minorHAnsi"/>
          <w:sz w:val="22"/>
          <w:szCs w:val="22"/>
        </w:rPr>
        <w:t>s.m.i.</w:t>
      </w:r>
      <w:proofErr w:type="spellEnd"/>
      <w:r w:rsidRPr="00D35CBE">
        <w:rPr>
          <w:rFonts w:cstheme="minorHAnsi"/>
          <w:sz w:val="22"/>
          <w:szCs w:val="22"/>
        </w:rPr>
        <w:t xml:space="preserve">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</w:t>
      </w:r>
      <w:proofErr w:type="spellStart"/>
      <w:r w:rsidR="00F27D1C">
        <w:rPr>
          <w:rFonts w:cstheme="minorHAnsi"/>
          <w:b/>
          <w:sz w:val="22"/>
          <w:szCs w:val="22"/>
        </w:rPr>
        <w:t>D.Lgs.</w:t>
      </w:r>
      <w:proofErr w:type="spellEnd"/>
      <w:r w:rsidR="00F27D1C">
        <w:rPr>
          <w:rFonts w:cstheme="minorHAnsi"/>
          <w:b/>
          <w:sz w:val="22"/>
          <w:szCs w:val="22"/>
        </w:rPr>
        <w:t xml:space="preserve">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 xml:space="preserve">16 </w:t>
      </w:r>
      <w:proofErr w:type="spellStart"/>
      <w:r w:rsidRPr="00D35CBE">
        <w:rPr>
          <w:rFonts w:cstheme="minorHAnsi"/>
          <w:i/>
          <w:sz w:val="22"/>
          <w:szCs w:val="22"/>
        </w:rPr>
        <w:t>D.Lgs.</w:t>
      </w:r>
      <w:proofErr w:type="spellEnd"/>
      <w:r w:rsidRPr="00D35CBE">
        <w:rPr>
          <w:rFonts w:cstheme="minorHAnsi"/>
          <w:i/>
          <w:sz w:val="22"/>
          <w:szCs w:val="22"/>
        </w:rPr>
        <w:t xml:space="preserve">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proofErr w:type="spellStart"/>
      <w:r w:rsidRPr="00D35CBE">
        <w:rPr>
          <w:rFonts w:cstheme="minorHAnsi"/>
          <w:spacing w:val="-1"/>
          <w:sz w:val="22"/>
          <w:szCs w:val="22"/>
        </w:rPr>
        <w:t>endoprocedimentali</w:t>
      </w:r>
      <w:proofErr w:type="spellEnd"/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lastRenderedPageBreak/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B5C5" w14:textId="77777777" w:rsidR="009E6DEA" w:rsidRDefault="009E6DEA" w:rsidP="00D91E55">
      <w:pPr>
        <w:spacing w:before="0" w:after="0" w:line="240" w:lineRule="auto"/>
      </w:pPr>
      <w:r>
        <w:separator/>
      </w:r>
    </w:p>
  </w:endnote>
  <w:endnote w:type="continuationSeparator" w:id="0">
    <w:p w14:paraId="2B06F3CC" w14:textId="77777777" w:rsidR="009E6DEA" w:rsidRDefault="009E6DEA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1812" w14:textId="77777777" w:rsidR="009E6DEA" w:rsidRDefault="009E6DEA" w:rsidP="00D91E55">
      <w:pPr>
        <w:spacing w:before="0" w:after="0" w:line="240" w:lineRule="auto"/>
      </w:pPr>
      <w:r>
        <w:separator/>
      </w:r>
    </w:p>
  </w:footnote>
  <w:footnote w:type="continuationSeparator" w:id="0">
    <w:p w14:paraId="1377FA1C" w14:textId="77777777" w:rsidR="009E6DEA" w:rsidRDefault="009E6DEA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2076">
    <w:abstractNumId w:val="11"/>
  </w:num>
  <w:num w:numId="2" w16cid:durableId="796722668">
    <w:abstractNumId w:val="9"/>
  </w:num>
  <w:num w:numId="3" w16cid:durableId="955252742">
    <w:abstractNumId w:val="5"/>
  </w:num>
  <w:num w:numId="4" w16cid:durableId="1539270122">
    <w:abstractNumId w:val="12"/>
  </w:num>
  <w:num w:numId="5" w16cid:durableId="1186290549">
    <w:abstractNumId w:val="2"/>
  </w:num>
  <w:num w:numId="6" w16cid:durableId="262346734">
    <w:abstractNumId w:val="15"/>
  </w:num>
  <w:num w:numId="7" w16cid:durableId="419446696">
    <w:abstractNumId w:val="4"/>
  </w:num>
  <w:num w:numId="8" w16cid:durableId="593636045">
    <w:abstractNumId w:val="13"/>
  </w:num>
  <w:num w:numId="9" w16cid:durableId="1781686607">
    <w:abstractNumId w:val="3"/>
  </w:num>
  <w:num w:numId="10" w16cid:durableId="858542380">
    <w:abstractNumId w:val="14"/>
  </w:num>
  <w:num w:numId="11" w16cid:durableId="594091191">
    <w:abstractNumId w:val="7"/>
  </w:num>
  <w:num w:numId="12" w16cid:durableId="1975401298">
    <w:abstractNumId w:val="8"/>
  </w:num>
  <w:num w:numId="13" w16cid:durableId="1952467285">
    <w:abstractNumId w:val="0"/>
  </w:num>
  <w:num w:numId="14" w16cid:durableId="418210887">
    <w:abstractNumId w:val="1"/>
  </w:num>
  <w:num w:numId="15" w16cid:durableId="328680923">
    <w:abstractNumId w:val="6"/>
  </w:num>
  <w:num w:numId="16" w16cid:durableId="1548253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510F8"/>
    <w:rsid w:val="0017163A"/>
    <w:rsid w:val="001901E6"/>
    <w:rsid w:val="001E0729"/>
    <w:rsid w:val="00252FED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5729"/>
    <w:rsid w:val="00376E4E"/>
    <w:rsid w:val="003807E8"/>
    <w:rsid w:val="00380F8E"/>
    <w:rsid w:val="003E1286"/>
    <w:rsid w:val="004816A9"/>
    <w:rsid w:val="004C450A"/>
    <w:rsid w:val="004E6E84"/>
    <w:rsid w:val="005125C3"/>
    <w:rsid w:val="00515154"/>
    <w:rsid w:val="00531AE4"/>
    <w:rsid w:val="00591D04"/>
    <w:rsid w:val="00593EF7"/>
    <w:rsid w:val="005D03C4"/>
    <w:rsid w:val="00611550"/>
    <w:rsid w:val="00612638"/>
    <w:rsid w:val="00620175"/>
    <w:rsid w:val="00624DB9"/>
    <w:rsid w:val="0063679C"/>
    <w:rsid w:val="006A7006"/>
    <w:rsid w:val="006B4C53"/>
    <w:rsid w:val="00707327"/>
    <w:rsid w:val="007073EE"/>
    <w:rsid w:val="00714D7D"/>
    <w:rsid w:val="007234AC"/>
    <w:rsid w:val="00756B4A"/>
    <w:rsid w:val="00776C71"/>
    <w:rsid w:val="00777A05"/>
    <w:rsid w:val="00795C12"/>
    <w:rsid w:val="007964B0"/>
    <w:rsid w:val="007C5EE7"/>
    <w:rsid w:val="007D444B"/>
    <w:rsid w:val="007F61A7"/>
    <w:rsid w:val="00837A12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6760D"/>
    <w:rsid w:val="0098202A"/>
    <w:rsid w:val="009E0134"/>
    <w:rsid w:val="009E2623"/>
    <w:rsid w:val="009E6DEA"/>
    <w:rsid w:val="00A0045E"/>
    <w:rsid w:val="00A16C56"/>
    <w:rsid w:val="00A72B26"/>
    <w:rsid w:val="00A75D45"/>
    <w:rsid w:val="00AC0E0B"/>
    <w:rsid w:val="00AC444E"/>
    <w:rsid w:val="00AC4D23"/>
    <w:rsid w:val="00AD0071"/>
    <w:rsid w:val="00B15D66"/>
    <w:rsid w:val="00B3091D"/>
    <w:rsid w:val="00B53FE0"/>
    <w:rsid w:val="00B54ECF"/>
    <w:rsid w:val="00B73F60"/>
    <w:rsid w:val="00B76CB2"/>
    <w:rsid w:val="00BD0306"/>
    <w:rsid w:val="00BE0E81"/>
    <w:rsid w:val="00C35911"/>
    <w:rsid w:val="00C46AD2"/>
    <w:rsid w:val="00C76048"/>
    <w:rsid w:val="00CA1E3D"/>
    <w:rsid w:val="00CD2165"/>
    <w:rsid w:val="00CD264B"/>
    <w:rsid w:val="00CF70BF"/>
    <w:rsid w:val="00D02144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54A2B"/>
    <w:rsid w:val="00E6258A"/>
    <w:rsid w:val="00E8125B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ing. Salvatore MIRANDA</cp:lastModifiedBy>
  <cp:revision>28</cp:revision>
  <cp:lastPrinted>2024-07-12T06:47:00Z</cp:lastPrinted>
  <dcterms:created xsi:type="dcterms:W3CDTF">2024-07-20T04:58:00Z</dcterms:created>
  <dcterms:modified xsi:type="dcterms:W3CDTF">2025-03-03T08:53:00Z</dcterms:modified>
</cp:coreProperties>
</file>